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C8B" w:rsidRPr="00794C30" w:rsidRDefault="00794C30">
      <w:pPr>
        <w:ind w:left="2660"/>
        <w:rPr>
          <w:sz w:val="20"/>
          <w:szCs w:val="20"/>
        </w:rPr>
      </w:pPr>
      <w:r w:rsidRPr="00794C30">
        <w:rPr>
          <w:rFonts w:eastAsia="Times New Roman"/>
          <w:b/>
          <w:bCs/>
          <w:sz w:val="23"/>
          <w:szCs w:val="23"/>
        </w:rPr>
        <w:t>НЕПОСРЕДСТВЕННОЕ УПРАВЛЕНИЕ МКД</w:t>
      </w:r>
    </w:p>
    <w:p w:rsidR="00667C8B" w:rsidRPr="00794C30" w:rsidRDefault="00667C8B">
      <w:pPr>
        <w:spacing w:line="200" w:lineRule="exact"/>
        <w:rPr>
          <w:sz w:val="24"/>
          <w:szCs w:val="24"/>
        </w:rPr>
      </w:pPr>
    </w:p>
    <w:p w:rsidR="00667C8B" w:rsidRPr="00794C30" w:rsidRDefault="00667C8B">
      <w:pPr>
        <w:spacing w:line="200" w:lineRule="exact"/>
        <w:rPr>
          <w:sz w:val="24"/>
          <w:szCs w:val="24"/>
        </w:rPr>
      </w:pPr>
    </w:p>
    <w:p w:rsidR="00667C8B" w:rsidRPr="00794C30" w:rsidRDefault="00667C8B">
      <w:pPr>
        <w:spacing w:line="246" w:lineRule="exact"/>
        <w:rPr>
          <w:sz w:val="24"/>
          <w:szCs w:val="24"/>
        </w:rPr>
      </w:pPr>
    </w:p>
    <w:p w:rsidR="00667C8B" w:rsidRPr="00794C30" w:rsidRDefault="00794C30">
      <w:pPr>
        <w:spacing w:line="265" w:lineRule="auto"/>
        <w:ind w:left="260" w:firstLine="360"/>
        <w:jc w:val="both"/>
        <w:rPr>
          <w:sz w:val="20"/>
          <w:szCs w:val="20"/>
        </w:rPr>
      </w:pPr>
      <w:r w:rsidRPr="00794C30">
        <w:rPr>
          <w:rFonts w:eastAsia="Times New Roman"/>
          <w:sz w:val="23"/>
          <w:szCs w:val="23"/>
        </w:rPr>
        <w:t>При выборе непосредственного управления собственники должны быть готовы самостоятельно осуществлять управление многоквартирным домом – без привлечения управляющих организаций и создания ТСЖ.</w:t>
      </w:r>
    </w:p>
    <w:p w:rsidR="00667C8B" w:rsidRPr="00794C30" w:rsidRDefault="00667C8B">
      <w:pPr>
        <w:spacing w:line="175" w:lineRule="exact"/>
        <w:rPr>
          <w:sz w:val="24"/>
          <w:szCs w:val="24"/>
        </w:rPr>
      </w:pPr>
    </w:p>
    <w:p w:rsidR="00667C8B" w:rsidRPr="00794C30" w:rsidRDefault="00794C30">
      <w:pPr>
        <w:spacing w:line="269" w:lineRule="auto"/>
        <w:ind w:left="260" w:firstLine="360"/>
        <w:jc w:val="both"/>
        <w:rPr>
          <w:sz w:val="20"/>
          <w:szCs w:val="20"/>
        </w:rPr>
      </w:pPr>
      <w:r w:rsidRPr="00794C30">
        <w:rPr>
          <w:rFonts w:eastAsia="Times New Roman"/>
          <w:sz w:val="23"/>
          <w:szCs w:val="23"/>
        </w:rPr>
        <w:t xml:space="preserve">Юридическим фактом, </w:t>
      </w:r>
      <w:r w:rsidRPr="00794C30">
        <w:rPr>
          <w:rFonts w:eastAsia="Times New Roman"/>
          <w:sz w:val="23"/>
          <w:szCs w:val="23"/>
        </w:rPr>
        <w:t>подтверждающим выбор собственниками непосредственного способа управления многоквартирным домом, является заключение ими договоров с подрядными организациями, оказывающими услуги по содержанию общего имущества многоквартирного дома и его ремонту, и с органи</w:t>
      </w:r>
      <w:r w:rsidRPr="00794C30">
        <w:rPr>
          <w:rFonts w:eastAsia="Times New Roman"/>
          <w:sz w:val="23"/>
          <w:szCs w:val="23"/>
        </w:rPr>
        <w:t>зациями, предоставляющими коммунальные услуги. Отсутствие таких договоров позволяет сделать вывод о том, что выбранный способ управления не реализован, следовательно, дом может стать объектом проведения конкурса по отбору управляющих организаций в соответс</w:t>
      </w:r>
      <w:r w:rsidRPr="00794C30">
        <w:rPr>
          <w:rFonts w:eastAsia="Times New Roman"/>
          <w:sz w:val="23"/>
          <w:szCs w:val="23"/>
        </w:rPr>
        <w:t>твии с ч</w:t>
      </w:r>
      <w:r w:rsidRPr="00794C30">
        <w:rPr>
          <w:rFonts w:eastAsia="Times New Roman"/>
          <w:sz w:val="23"/>
          <w:szCs w:val="23"/>
        </w:rPr>
        <w:t xml:space="preserve">. 4 ст. 161 ЖК </w:t>
      </w:r>
      <w:r w:rsidRPr="00794C30">
        <w:rPr>
          <w:rFonts w:eastAsia="Times New Roman"/>
          <w:sz w:val="23"/>
          <w:szCs w:val="23"/>
        </w:rPr>
        <w:t>РФ.</w:t>
      </w:r>
    </w:p>
    <w:p w:rsidR="00667C8B" w:rsidRPr="00794C30" w:rsidRDefault="00667C8B">
      <w:pPr>
        <w:spacing w:line="174" w:lineRule="exact"/>
        <w:rPr>
          <w:sz w:val="24"/>
          <w:szCs w:val="24"/>
        </w:rPr>
      </w:pPr>
    </w:p>
    <w:p w:rsidR="00667C8B" w:rsidRPr="00794C30" w:rsidRDefault="00794C30">
      <w:pPr>
        <w:spacing w:line="270" w:lineRule="auto"/>
        <w:ind w:left="260" w:firstLine="360"/>
        <w:jc w:val="both"/>
        <w:rPr>
          <w:sz w:val="20"/>
          <w:szCs w:val="20"/>
        </w:rPr>
      </w:pPr>
      <w:r w:rsidRPr="00794C30">
        <w:rPr>
          <w:rFonts w:eastAsia="Times New Roman"/>
          <w:sz w:val="23"/>
          <w:szCs w:val="23"/>
        </w:rPr>
        <w:t>При непосредственном управлении многоквартирным домом органом управления является общее собрание собственников помещений в нем. На общем собрании принимаются все решения, связанные с содержанием и ремонтом общего имущества в доме</w:t>
      </w:r>
      <w:r w:rsidRPr="00794C30">
        <w:rPr>
          <w:rFonts w:eastAsia="Times New Roman"/>
          <w:sz w:val="23"/>
          <w:szCs w:val="23"/>
        </w:rPr>
        <w:t>, предоставлением коммунальных услуг, распоряжением общей долевой собственностью. Следует отметить, что при этом способе для решения вопросов управления домом не могут быть привлечены управляющий или управляющая организация. Само название «непосредственное</w:t>
      </w:r>
      <w:r w:rsidRPr="00794C30">
        <w:rPr>
          <w:rFonts w:eastAsia="Times New Roman"/>
          <w:sz w:val="23"/>
          <w:szCs w:val="23"/>
        </w:rPr>
        <w:t xml:space="preserve"> управление» исключает такую возможность. В этом случае договоры управления, заключенные собственниками с третьими лицами, могут быть признаны недействительными как противоречащие требованиям действующего законодательства.</w:t>
      </w:r>
    </w:p>
    <w:p w:rsidR="00667C8B" w:rsidRPr="00794C30" w:rsidRDefault="00667C8B">
      <w:pPr>
        <w:spacing w:line="173" w:lineRule="exact"/>
        <w:rPr>
          <w:sz w:val="24"/>
          <w:szCs w:val="24"/>
        </w:rPr>
      </w:pPr>
    </w:p>
    <w:p w:rsidR="00667C8B" w:rsidRPr="00794C30" w:rsidRDefault="00794C30">
      <w:pPr>
        <w:spacing w:line="268" w:lineRule="auto"/>
        <w:ind w:left="260" w:firstLine="360"/>
        <w:jc w:val="both"/>
        <w:rPr>
          <w:sz w:val="20"/>
          <w:szCs w:val="20"/>
        </w:rPr>
      </w:pPr>
      <w:r w:rsidRPr="00794C30">
        <w:rPr>
          <w:rFonts w:eastAsia="Times New Roman"/>
          <w:sz w:val="23"/>
          <w:szCs w:val="23"/>
        </w:rPr>
        <w:t>При предоставлении жилищных услу</w:t>
      </w:r>
      <w:r w:rsidRPr="00794C30">
        <w:rPr>
          <w:rFonts w:eastAsia="Times New Roman"/>
          <w:sz w:val="23"/>
          <w:szCs w:val="23"/>
        </w:rPr>
        <w:t>г собственники помещений на основании решения общего собрания вступают в договорные отношения с лицами, оказывающими услуги по содержанию общего имущества в многоквартирном доме и выполнению ремонтных работ. В договоре должны быть определены мероприятия по</w:t>
      </w:r>
      <w:r w:rsidRPr="00794C30">
        <w:rPr>
          <w:rFonts w:eastAsia="Times New Roman"/>
          <w:sz w:val="23"/>
          <w:szCs w:val="23"/>
        </w:rPr>
        <w:t xml:space="preserve"> содержанию и ремонту общего имущества.</w:t>
      </w:r>
    </w:p>
    <w:p w:rsidR="00667C8B" w:rsidRPr="00794C30" w:rsidRDefault="00667C8B">
      <w:pPr>
        <w:spacing w:line="173" w:lineRule="exact"/>
        <w:rPr>
          <w:sz w:val="24"/>
          <w:szCs w:val="24"/>
        </w:rPr>
      </w:pPr>
    </w:p>
    <w:p w:rsidR="00667C8B" w:rsidRPr="00794C30" w:rsidRDefault="00794C30">
      <w:pPr>
        <w:spacing w:line="270" w:lineRule="auto"/>
        <w:ind w:left="260" w:firstLine="360"/>
        <w:jc w:val="both"/>
        <w:rPr>
          <w:sz w:val="20"/>
          <w:szCs w:val="20"/>
        </w:rPr>
      </w:pPr>
      <w:r w:rsidRPr="00794C30">
        <w:rPr>
          <w:rFonts w:eastAsia="Times New Roman"/>
          <w:sz w:val="23"/>
          <w:szCs w:val="23"/>
        </w:rPr>
        <w:t>Часть 2 ст. 164 ЖК РФ предусматривает заключение договоров на предоставление коммунальных услуг с каждым собственником помещения в многоквартирном доме в отдельности. Здесь уже не действует правило о том, что сторон</w:t>
      </w:r>
      <w:r w:rsidRPr="00794C30">
        <w:rPr>
          <w:rFonts w:eastAsia="Times New Roman"/>
          <w:sz w:val="23"/>
          <w:szCs w:val="23"/>
        </w:rPr>
        <w:t>ой договора являются все собственники помещений или их большинство. Договор на предоставление коммунальных услуг заключается каждым собственником помещения от своего имени. Это значит, что вы сами в индивидуальном порядке идете к поставщикам коммунальных у</w:t>
      </w:r>
      <w:r w:rsidRPr="00794C30">
        <w:rPr>
          <w:rFonts w:eastAsia="Times New Roman"/>
          <w:sz w:val="23"/>
          <w:szCs w:val="23"/>
        </w:rPr>
        <w:t>слуг и заключаете с ними договоры на поставку воды, света, газа, отопления. При этом собственникам необходимо предусмотреть и закрепить в письменной форме ответственность по обслуживанию общедомовых приборов учета и передаче данных ресурсоснабжающим органи</w:t>
      </w:r>
      <w:r w:rsidRPr="00794C30">
        <w:rPr>
          <w:rFonts w:eastAsia="Times New Roman"/>
          <w:sz w:val="23"/>
          <w:szCs w:val="23"/>
        </w:rPr>
        <w:t>зациям.</w:t>
      </w:r>
    </w:p>
    <w:p w:rsidR="00667C8B" w:rsidRPr="00794C30" w:rsidRDefault="00667C8B">
      <w:pPr>
        <w:spacing w:line="176" w:lineRule="exact"/>
        <w:rPr>
          <w:sz w:val="24"/>
          <w:szCs w:val="24"/>
        </w:rPr>
      </w:pPr>
    </w:p>
    <w:p w:rsidR="00667C8B" w:rsidRPr="00794C30" w:rsidRDefault="00794C30">
      <w:pPr>
        <w:spacing w:line="258" w:lineRule="auto"/>
        <w:ind w:left="260" w:firstLine="360"/>
        <w:jc w:val="both"/>
        <w:rPr>
          <w:sz w:val="20"/>
          <w:szCs w:val="20"/>
        </w:rPr>
      </w:pPr>
      <w:r w:rsidRPr="00794C30">
        <w:rPr>
          <w:rFonts w:eastAsia="Times New Roman"/>
          <w:sz w:val="23"/>
          <w:szCs w:val="23"/>
        </w:rPr>
        <w:t>Необходимо отметить и ряд существенных недостатков для жителей при выборе этого способа управления:</w:t>
      </w:r>
    </w:p>
    <w:p w:rsidR="00667C8B" w:rsidRPr="00794C30" w:rsidRDefault="00667C8B">
      <w:pPr>
        <w:spacing w:line="168" w:lineRule="exact"/>
        <w:rPr>
          <w:sz w:val="24"/>
          <w:szCs w:val="24"/>
        </w:rPr>
      </w:pPr>
    </w:p>
    <w:p w:rsidR="00667C8B" w:rsidRPr="00794C30" w:rsidRDefault="00794C30">
      <w:pPr>
        <w:numPr>
          <w:ilvl w:val="0"/>
          <w:numId w:val="1"/>
        </w:numPr>
        <w:tabs>
          <w:tab w:val="left" w:pos="1340"/>
        </w:tabs>
        <w:spacing w:line="252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 w:rsidRPr="00794C30">
        <w:rPr>
          <w:rFonts w:eastAsia="Times New Roman"/>
          <w:sz w:val="24"/>
          <w:szCs w:val="24"/>
        </w:rPr>
        <w:t xml:space="preserve">Нет механизма для принятия решений по управлению, кроме проведения общего собрания собственников, что требует значительного времени при решении </w:t>
      </w:r>
      <w:r w:rsidRPr="00794C30">
        <w:rPr>
          <w:rFonts w:eastAsia="Times New Roman"/>
          <w:sz w:val="24"/>
          <w:szCs w:val="24"/>
        </w:rPr>
        <w:t>каких-либо вопросов; совет дома, не имея профессиональных знаний, не сможет грамотно управлять жилфондом, осуществлять финансовое управление, планирование работ по содержанию общего имущества МКД.</w:t>
      </w:r>
    </w:p>
    <w:p w:rsidR="00667C8B" w:rsidRPr="00794C30" w:rsidRDefault="00667C8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67C8B" w:rsidRPr="00794C30" w:rsidRDefault="00794C30">
      <w:pPr>
        <w:numPr>
          <w:ilvl w:val="0"/>
          <w:numId w:val="1"/>
        </w:numPr>
        <w:tabs>
          <w:tab w:val="left" w:pos="1340"/>
        </w:tabs>
        <w:spacing w:line="247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 w:rsidRPr="00794C30">
        <w:rPr>
          <w:rFonts w:eastAsia="Times New Roman"/>
          <w:sz w:val="24"/>
          <w:szCs w:val="24"/>
        </w:rPr>
        <w:t>При непосредственном управлении УК «уходят» от поднадзорно</w:t>
      </w:r>
      <w:r w:rsidRPr="00794C30">
        <w:rPr>
          <w:rFonts w:eastAsia="Times New Roman"/>
          <w:sz w:val="24"/>
          <w:szCs w:val="24"/>
        </w:rPr>
        <w:t>сти жилищной инспекции, а значит, призвать к ответу управляющую организацию за некачественный ремонт или содержание не получится.</w:t>
      </w:r>
    </w:p>
    <w:p w:rsidR="00667C8B" w:rsidRPr="00794C30" w:rsidRDefault="00667C8B">
      <w:pPr>
        <w:sectPr w:rsidR="00667C8B" w:rsidRPr="00794C30">
          <w:pgSz w:w="11900" w:h="16838"/>
          <w:pgMar w:top="738" w:right="846" w:bottom="564" w:left="1440" w:header="0" w:footer="0" w:gutter="0"/>
          <w:cols w:space="720" w:equalWidth="0">
            <w:col w:w="9620"/>
          </w:cols>
        </w:sectPr>
      </w:pPr>
    </w:p>
    <w:p w:rsidR="00667C8B" w:rsidRPr="00794C30" w:rsidRDefault="00794C30">
      <w:pPr>
        <w:numPr>
          <w:ilvl w:val="0"/>
          <w:numId w:val="2"/>
        </w:numPr>
        <w:tabs>
          <w:tab w:val="left" w:pos="1340"/>
        </w:tabs>
        <w:spacing w:line="255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 w:rsidRPr="00794C30">
        <w:rPr>
          <w:rFonts w:eastAsia="Times New Roman"/>
          <w:sz w:val="24"/>
          <w:szCs w:val="24"/>
        </w:rPr>
        <w:lastRenderedPageBreak/>
        <w:t>Обслуживающая организация, в отличие от управляющей, не обязана публиковать годовой отчет о расходовании</w:t>
      </w:r>
      <w:r w:rsidRPr="00794C30">
        <w:rPr>
          <w:rFonts w:eastAsia="Times New Roman"/>
          <w:sz w:val="24"/>
          <w:szCs w:val="24"/>
        </w:rPr>
        <w:t xml:space="preserve"> средств. Законодательством не определены существенные условия договора на обслуживание общего имущества, что позволит управляющим организациям составлять указанный договор с учетом только собственных интересов, а не жителей. Переход на непосредственное уп</w:t>
      </w:r>
      <w:r w:rsidRPr="00794C30">
        <w:rPr>
          <w:rFonts w:eastAsia="Times New Roman"/>
          <w:sz w:val="24"/>
          <w:szCs w:val="24"/>
        </w:rPr>
        <w:t>равление и заключение с собственниками договора на «техническое обслуживание и ремонт» ограничивает ответственность УК перед собственниками только условиями перезаключенного договора.</w:t>
      </w:r>
    </w:p>
    <w:p w:rsidR="00667C8B" w:rsidRPr="00794C30" w:rsidRDefault="00667C8B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667C8B" w:rsidRPr="00794C30" w:rsidRDefault="00667C8B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667C8B" w:rsidRPr="00794C30" w:rsidRDefault="00794C30">
      <w:pPr>
        <w:numPr>
          <w:ilvl w:val="0"/>
          <w:numId w:val="2"/>
        </w:numPr>
        <w:tabs>
          <w:tab w:val="left" w:pos="1340"/>
        </w:tabs>
        <w:spacing w:line="255" w:lineRule="auto"/>
        <w:ind w:left="1340" w:hanging="358"/>
        <w:jc w:val="both"/>
        <w:rPr>
          <w:rFonts w:ascii="Symbol" w:eastAsia="Symbol" w:hAnsi="Symbol" w:cs="Symbol"/>
          <w:sz w:val="24"/>
          <w:szCs w:val="24"/>
        </w:rPr>
      </w:pPr>
      <w:r w:rsidRPr="00794C30">
        <w:rPr>
          <w:rFonts w:eastAsia="Times New Roman"/>
          <w:sz w:val="24"/>
          <w:szCs w:val="24"/>
        </w:rPr>
        <w:t>При выборе собственниками помещений способа непосредственного управления МКД не может быть реализовано предусмотренное жилищным законодательством полномочие органа местного самоуправления по проверке деятельности управляющей</w:t>
      </w:r>
      <w:r w:rsidRPr="00794C30">
        <w:rPr>
          <w:rFonts w:eastAsia="Times New Roman"/>
          <w:sz w:val="24"/>
          <w:szCs w:val="24"/>
        </w:rPr>
        <w:t xml:space="preserve"> организации, так как она является лишь выполняющим работы подрядным предприятием, и в ее обязанности не входят ни защита прав собственников, ни решение других организационных вопросов.</w:t>
      </w:r>
    </w:p>
    <w:p w:rsidR="00667C8B" w:rsidRPr="00794C30" w:rsidRDefault="00667C8B">
      <w:pPr>
        <w:spacing w:line="200" w:lineRule="exact"/>
        <w:rPr>
          <w:sz w:val="20"/>
          <w:szCs w:val="20"/>
        </w:rPr>
      </w:pPr>
    </w:p>
    <w:p w:rsidR="00667C8B" w:rsidRPr="00794C30" w:rsidRDefault="00667C8B">
      <w:pPr>
        <w:spacing w:line="200" w:lineRule="exact"/>
        <w:rPr>
          <w:sz w:val="20"/>
          <w:szCs w:val="20"/>
        </w:rPr>
      </w:pPr>
    </w:p>
    <w:p w:rsidR="00667C8B" w:rsidRPr="00794C30" w:rsidRDefault="00667C8B">
      <w:pPr>
        <w:spacing w:line="250" w:lineRule="exact"/>
        <w:rPr>
          <w:sz w:val="20"/>
          <w:szCs w:val="20"/>
        </w:rPr>
      </w:pPr>
    </w:p>
    <w:p w:rsidR="00667C8B" w:rsidRDefault="00667C8B">
      <w:pPr>
        <w:spacing w:line="20" w:lineRule="exact"/>
        <w:rPr>
          <w:sz w:val="20"/>
          <w:szCs w:val="20"/>
        </w:rPr>
      </w:pPr>
      <w:bookmarkStart w:id="0" w:name="_GoBack"/>
      <w:bookmarkEnd w:id="0"/>
    </w:p>
    <w:sectPr w:rsidR="00667C8B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FA1EE896"/>
    <w:lvl w:ilvl="0" w:tplc="5A447958">
      <w:start w:val="1"/>
      <w:numFmt w:val="bullet"/>
      <w:lvlText w:val=""/>
      <w:lvlJc w:val="left"/>
    </w:lvl>
    <w:lvl w:ilvl="1" w:tplc="9848A0B8">
      <w:numFmt w:val="decimal"/>
      <w:lvlText w:val=""/>
      <w:lvlJc w:val="left"/>
    </w:lvl>
    <w:lvl w:ilvl="2" w:tplc="32F2D702">
      <w:numFmt w:val="decimal"/>
      <w:lvlText w:val=""/>
      <w:lvlJc w:val="left"/>
    </w:lvl>
    <w:lvl w:ilvl="3" w:tplc="0E121316">
      <w:numFmt w:val="decimal"/>
      <w:lvlText w:val=""/>
      <w:lvlJc w:val="left"/>
    </w:lvl>
    <w:lvl w:ilvl="4" w:tplc="74D8FF0C">
      <w:numFmt w:val="decimal"/>
      <w:lvlText w:val=""/>
      <w:lvlJc w:val="left"/>
    </w:lvl>
    <w:lvl w:ilvl="5" w:tplc="05C6D8CE">
      <w:numFmt w:val="decimal"/>
      <w:lvlText w:val=""/>
      <w:lvlJc w:val="left"/>
    </w:lvl>
    <w:lvl w:ilvl="6" w:tplc="053655F2">
      <w:numFmt w:val="decimal"/>
      <w:lvlText w:val=""/>
      <w:lvlJc w:val="left"/>
    </w:lvl>
    <w:lvl w:ilvl="7" w:tplc="78C2377C">
      <w:numFmt w:val="decimal"/>
      <w:lvlText w:val=""/>
      <w:lvlJc w:val="left"/>
    </w:lvl>
    <w:lvl w:ilvl="8" w:tplc="005662C2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9072132E"/>
    <w:lvl w:ilvl="0" w:tplc="214000D8">
      <w:start w:val="1"/>
      <w:numFmt w:val="bullet"/>
      <w:lvlText w:val=""/>
      <w:lvlJc w:val="left"/>
    </w:lvl>
    <w:lvl w:ilvl="1" w:tplc="DFE29BA2">
      <w:numFmt w:val="decimal"/>
      <w:lvlText w:val=""/>
      <w:lvlJc w:val="left"/>
    </w:lvl>
    <w:lvl w:ilvl="2" w:tplc="087A7F56">
      <w:numFmt w:val="decimal"/>
      <w:lvlText w:val=""/>
      <w:lvlJc w:val="left"/>
    </w:lvl>
    <w:lvl w:ilvl="3" w:tplc="8A546454">
      <w:numFmt w:val="decimal"/>
      <w:lvlText w:val=""/>
      <w:lvlJc w:val="left"/>
    </w:lvl>
    <w:lvl w:ilvl="4" w:tplc="7370036A">
      <w:numFmt w:val="decimal"/>
      <w:lvlText w:val=""/>
      <w:lvlJc w:val="left"/>
    </w:lvl>
    <w:lvl w:ilvl="5" w:tplc="65528776">
      <w:numFmt w:val="decimal"/>
      <w:lvlText w:val=""/>
      <w:lvlJc w:val="left"/>
    </w:lvl>
    <w:lvl w:ilvl="6" w:tplc="38AA297C">
      <w:numFmt w:val="decimal"/>
      <w:lvlText w:val=""/>
      <w:lvlJc w:val="left"/>
    </w:lvl>
    <w:lvl w:ilvl="7" w:tplc="CA9C5F16">
      <w:numFmt w:val="decimal"/>
      <w:lvlText w:val=""/>
      <w:lvlJc w:val="left"/>
    </w:lvl>
    <w:lvl w:ilvl="8" w:tplc="510CBDAC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AEC8A550"/>
    <w:lvl w:ilvl="0" w:tplc="99BE82EA">
      <w:start w:val="1"/>
      <w:numFmt w:val="bullet"/>
      <w:lvlText w:val=""/>
      <w:lvlJc w:val="left"/>
    </w:lvl>
    <w:lvl w:ilvl="1" w:tplc="E85A44E6">
      <w:numFmt w:val="decimal"/>
      <w:lvlText w:val=""/>
      <w:lvlJc w:val="left"/>
    </w:lvl>
    <w:lvl w:ilvl="2" w:tplc="B1A6AFF8">
      <w:numFmt w:val="decimal"/>
      <w:lvlText w:val=""/>
      <w:lvlJc w:val="left"/>
    </w:lvl>
    <w:lvl w:ilvl="3" w:tplc="4D4AA294">
      <w:numFmt w:val="decimal"/>
      <w:lvlText w:val=""/>
      <w:lvlJc w:val="left"/>
    </w:lvl>
    <w:lvl w:ilvl="4" w:tplc="7F38F89A">
      <w:numFmt w:val="decimal"/>
      <w:lvlText w:val=""/>
      <w:lvlJc w:val="left"/>
    </w:lvl>
    <w:lvl w:ilvl="5" w:tplc="DB5869E0">
      <w:numFmt w:val="decimal"/>
      <w:lvlText w:val=""/>
      <w:lvlJc w:val="left"/>
    </w:lvl>
    <w:lvl w:ilvl="6" w:tplc="472CD014">
      <w:numFmt w:val="decimal"/>
      <w:lvlText w:val=""/>
      <w:lvlJc w:val="left"/>
    </w:lvl>
    <w:lvl w:ilvl="7" w:tplc="28CC8772">
      <w:numFmt w:val="decimal"/>
      <w:lvlText w:val=""/>
      <w:lvlJc w:val="left"/>
    </w:lvl>
    <w:lvl w:ilvl="8" w:tplc="C038999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B"/>
    <w:rsid w:val="00667C8B"/>
    <w:rsid w:val="00794C30"/>
    <w:rsid w:val="00B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1DB4"/>
  <w15:docId w15:val="{3E33E7C5-553B-4736-833D-62507A26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Камышанова</cp:lastModifiedBy>
  <cp:revision>3</cp:revision>
  <dcterms:created xsi:type="dcterms:W3CDTF">2018-06-06T11:33:00Z</dcterms:created>
  <dcterms:modified xsi:type="dcterms:W3CDTF">2018-06-06T11:40:00Z</dcterms:modified>
</cp:coreProperties>
</file>